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84417C" w:rsidP="0084417C">
      <w:pPr>
        <w:spacing w:line="480" w:lineRule="auto"/>
        <w:ind w:left="0" w:firstLine="0"/>
        <w:jc w:val="center"/>
        <w:rPr>
          <w:rFonts w:ascii="Times New Roman" w:hAnsi="Times New Roman" w:cs="Times New Roman"/>
          <w:b/>
          <w:sz w:val="24"/>
          <w:szCs w:val="24"/>
        </w:rPr>
      </w:pPr>
    </w:p>
    <w:p w:rsidR="0084417C" w:rsidRDefault="00F7580D" w:rsidP="00F7580D">
      <w:pPr>
        <w:tabs>
          <w:tab w:val="left" w:pos="6480"/>
        </w:tabs>
        <w:spacing w:line="480" w:lineRule="auto"/>
        <w:ind w:left="0" w:firstLine="0"/>
        <w:rPr>
          <w:rFonts w:ascii="Times New Roman" w:hAnsi="Times New Roman" w:cs="Times New Roman"/>
          <w:b/>
          <w:sz w:val="24"/>
          <w:szCs w:val="24"/>
        </w:rPr>
      </w:pPr>
      <w:r>
        <w:rPr>
          <w:rFonts w:ascii="Times New Roman" w:hAnsi="Times New Roman" w:cs="Times New Roman"/>
          <w:b/>
          <w:sz w:val="24"/>
          <w:szCs w:val="24"/>
        </w:rPr>
        <w:tab/>
      </w:r>
    </w:p>
    <w:p w:rsidR="0084417C" w:rsidRDefault="0084417C" w:rsidP="0084417C">
      <w:pPr>
        <w:spacing w:line="480" w:lineRule="auto"/>
        <w:ind w:left="0" w:firstLine="0"/>
        <w:jc w:val="center"/>
        <w:rPr>
          <w:rFonts w:ascii="Times New Roman" w:hAnsi="Times New Roman" w:cs="Times New Roman"/>
          <w:b/>
          <w:sz w:val="24"/>
          <w:szCs w:val="24"/>
        </w:rPr>
      </w:pPr>
    </w:p>
    <w:p w:rsidR="00343DD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2A0ED5">
        <w:rPr>
          <w:rFonts w:ascii="Times New Roman" w:hAnsi="Times New Roman" w:cs="Times New Roman"/>
          <w:b/>
          <w:sz w:val="24"/>
          <w:szCs w:val="24"/>
        </w:rPr>
        <w:t>Legal Aspects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w:t>
      </w:r>
      <w:r w:rsidR="0084417C">
        <w:rPr>
          <w:rFonts w:ascii="Times New Roman" w:hAnsi="Times New Roman" w:cs="Times New Roman"/>
          <w:b/>
          <w:sz w:val="24"/>
          <w:szCs w:val="24"/>
        </w:rPr>
        <w:t xml:space="preserve"> Code</w:t>
      </w:r>
      <w:r>
        <w:rPr>
          <w:rFonts w:ascii="Times New Roman" w:hAnsi="Times New Roman" w:cs="Times New Roman"/>
          <w:b/>
          <w:sz w:val="24"/>
          <w:szCs w:val="24"/>
        </w:rPr>
        <w:t>:</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Course name:</w:t>
      </w:r>
    </w:p>
    <w:p w:rsidR="0084417C" w:rsidRDefault="0084417C"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School affiliations:</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Professor:</w:t>
      </w:r>
    </w:p>
    <w:p w:rsidR="00277236" w:rsidRDefault="00277236" w:rsidP="0084417C">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Date:</w:t>
      </w: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p>
    <w:p w:rsidR="0084417C" w:rsidRDefault="0084417C" w:rsidP="00343DD6">
      <w:pPr>
        <w:spacing w:line="480" w:lineRule="auto"/>
        <w:ind w:left="0" w:firstLine="0"/>
        <w:rPr>
          <w:rFonts w:ascii="Times New Roman" w:hAnsi="Times New Roman" w:cs="Times New Roman"/>
          <w:b/>
          <w:sz w:val="24"/>
          <w:szCs w:val="24"/>
        </w:rPr>
      </w:pPr>
      <w:bookmarkStart w:id="0" w:name="_GoBack"/>
      <w:bookmarkEnd w:id="0"/>
    </w:p>
    <w:p w:rsidR="001F2EE7" w:rsidRDefault="001F2EE7" w:rsidP="001F2EE7">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Abstract </w:t>
      </w:r>
    </w:p>
    <w:p w:rsidR="001F2EE7" w:rsidRPr="006238CA" w:rsidRDefault="001F2EE7" w:rsidP="001F2EE7">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 xml:space="preserve">This paper gives a variety of different case briefs and the facts on what went ahead with the judgment. The case briefs have a comprehensive summary of the main points that were observed in the different cases. The case briefs are concise, condensed and give an outline of the case proceedings and the court opinion. The basic elements of the case briefs upheld the rule of law of the different court laws and their respective conclusions. </w:t>
      </w: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1F2EE7" w:rsidRDefault="001F2EE7" w:rsidP="002A0ED5">
      <w:pPr>
        <w:spacing w:line="480" w:lineRule="auto"/>
        <w:ind w:left="0" w:firstLine="0"/>
        <w:jc w:val="center"/>
        <w:rPr>
          <w:rFonts w:ascii="Times New Roman" w:hAnsi="Times New Roman" w:cs="Times New Roman"/>
          <w:b/>
          <w:sz w:val="24"/>
          <w:szCs w:val="24"/>
        </w:rPr>
      </w:pPr>
    </w:p>
    <w:p w:rsidR="00277236" w:rsidRDefault="002A0ED5" w:rsidP="002A0ED5">
      <w:pPr>
        <w:spacing w:line="480" w:lineRule="auto"/>
        <w:ind w:left="0" w:firstLine="0"/>
        <w:jc w:val="center"/>
        <w:rPr>
          <w:rFonts w:ascii="Times New Roman" w:hAnsi="Times New Roman" w:cs="Times New Roman"/>
          <w:b/>
          <w:sz w:val="24"/>
          <w:szCs w:val="24"/>
        </w:rPr>
      </w:pPr>
      <w:r w:rsidRPr="007C383A">
        <w:rPr>
          <w:rFonts w:ascii="Times New Roman" w:hAnsi="Times New Roman" w:cs="Times New Roman"/>
          <w:b/>
          <w:sz w:val="24"/>
          <w:szCs w:val="24"/>
        </w:rPr>
        <w:lastRenderedPageBreak/>
        <w:t>Legal aspects of business decisions</w:t>
      </w:r>
    </w:p>
    <w:p w:rsidR="007C383A" w:rsidRPr="007C383A" w:rsidRDefault="007C383A" w:rsidP="002A0ED5">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 xml:space="preserve">Case briefs </w:t>
      </w:r>
    </w:p>
    <w:p w:rsidR="002A0ED5"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2-5</w:t>
      </w:r>
      <w:r w:rsidR="00A47AE1">
        <w:rPr>
          <w:rFonts w:ascii="Times New Roman" w:hAnsi="Times New Roman" w:cs="Times New Roman"/>
          <w:b/>
          <w:sz w:val="24"/>
          <w:szCs w:val="24"/>
        </w:rPr>
        <w:t xml:space="preserve"> (The M/V Saiga Case (Merits)</w:t>
      </w:r>
    </w:p>
    <w:p w:rsidR="008F2E14" w:rsidRPr="008F2E14" w:rsidRDefault="00C854D6" w:rsidP="008F2E14">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3F7F72">
        <w:rPr>
          <w:rFonts w:ascii="Times New Roman" w:hAnsi="Times New Roman" w:cs="Times New Roman"/>
          <w:sz w:val="24"/>
          <w:szCs w:val="24"/>
        </w:rPr>
        <w:t xml:space="preserve"> </w:t>
      </w:r>
      <w:r w:rsidR="008F2E14" w:rsidRPr="008F2E14">
        <w:rPr>
          <w:rFonts w:ascii="Times New Roman" w:hAnsi="Times New Roman" w:cs="Times New Roman"/>
          <w:sz w:val="24"/>
          <w:szCs w:val="24"/>
        </w:rPr>
        <w:t xml:space="preserve">In this particular case, M/V Saiga was an oil tanker that was Plying Saint Vincent flag and besides the Grenadines. In any case, when this recurrence happened, M/V Saiga was utilizing the shoreline of guinea giving fuel oil to calculating vessels and furthermore extraordinary vessels that were working at the float. On 27th October 1997, this case was a result of M/V Saiga crossing its operational breaking points of guinea Bissu and crossed to Guinean Island. This incited the expert and gathering of the vessel being restricted. The Guinean endorses, regardless, did not enthusiasm for money related security or security for their release. Grenadines and Saint Vincent began systems in the International Tribunal (Law of the Sea, article 292 of UNLOS). Grenadines and Saint Vincent required the landing of their heap, gathering and vessel expeditiously and no bond ought to be given in this issue (Schoenbaum, 2013). </w:t>
      </w:r>
    </w:p>
    <w:p w:rsidR="008F2E14" w:rsidRPr="008F2E14" w:rsidRDefault="008F2E14" w:rsidP="008F2E14">
      <w:pPr>
        <w:spacing w:line="480" w:lineRule="auto"/>
        <w:ind w:left="0" w:firstLine="0"/>
        <w:rPr>
          <w:rFonts w:ascii="Times New Roman" w:hAnsi="Times New Roman" w:cs="Times New Roman"/>
          <w:sz w:val="24"/>
          <w:szCs w:val="24"/>
        </w:rPr>
      </w:pP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 xml:space="preserve">On the other hand, Guinea required the tribunal gave the case to dismiss the competitor's solicitations. The Tribunal couldn't outline the preface of the convenience since financial security and body had not been posted which was a need in the application as demonstrated by article 292. Guinea in this did not advise the restriction as indicated by article 73. It is seen that for this circumstance Guinea did not tell the detainees of the game plans of article 73, entry four on the realities of the convention. Guinea were not willing to discuss the point of bond and moreover time relevant that would see the group and the M/V Saiga together with the heap released. As a result of the assurances showed by the court on this particular case, it was reestablished that </w:t>
      </w:r>
      <w:r w:rsidRPr="008F2E14">
        <w:rPr>
          <w:rFonts w:ascii="Times New Roman" w:hAnsi="Times New Roman" w:cs="Times New Roman"/>
          <w:sz w:val="24"/>
          <w:szCs w:val="24"/>
        </w:rPr>
        <w:lastRenderedPageBreak/>
        <w:t xml:space="preserve">Guinea expected to release the M/V Saiga together </w:t>
      </w:r>
      <w:r>
        <w:rPr>
          <w:rFonts w:ascii="Times New Roman" w:hAnsi="Times New Roman" w:cs="Times New Roman"/>
          <w:sz w:val="24"/>
          <w:szCs w:val="24"/>
        </w:rPr>
        <w:t xml:space="preserve">with its people and the Cargo. </w:t>
      </w:r>
      <w:r w:rsidRPr="008F2E14">
        <w:rPr>
          <w:rFonts w:ascii="Times New Roman" w:hAnsi="Times New Roman" w:cs="Times New Roman"/>
          <w:sz w:val="24"/>
          <w:szCs w:val="24"/>
        </w:rPr>
        <w:t xml:space="preserve">So the Tribunal seemed farfetched to hold Grenadines and Saint Vincent for the bong not posted. The charges by Grenadines and Saint Vincent were particularly settled and Guinea should release M/V Saiga and the gathering in the wake of posting of security of $400,000 (Schoenbaum, 2013). </w:t>
      </w:r>
    </w:p>
    <w:p w:rsidR="006C6E5B" w:rsidRDefault="006C6E5B" w:rsidP="008F2E14">
      <w:pPr>
        <w:spacing w:line="480" w:lineRule="auto"/>
        <w:ind w:left="0" w:firstLine="0"/>
        <w:rPr>
          <w:rFonts w:ascii="Times New Roman" w:hAnsi="Times New Roman" w:cs="Times New Roman"/>
          <w:sz w:val="24"/>
          <w:szCs w:val="24"/>
        </w:rPr>
      </w:pPr>
    </w:p>
    <w:p w:rsidR="007C383A" w:rsidRDefault="006C6E5B" w:rsidP="008F2E14">
      <w:pPr>
        <w:spacing w:line="480" w:lineRule="auto"/>
        <w:ind w:left="0" w:firstLine="0"/>
        <w:rPr>
          <w:rFonts w:ascii="Times New Roman" w:hAnsi="Times New Roman" w:cs="Times New Roman"/>
          <w:b/>
          <w:sz w:val="24"/>
          <w:szCs w:val="24"/>
        </w:rPr>
      </w:pPr>
      <w:r>
        <w:rPr>
          <w:rFonts w:ascii="Times New Roman" w:hAnsi="Times New Roman" w:cs="Times New Roman"/>
          <w:sz w:val="24"/>
          <w:szCs w:val="24"/>
        </w:rPr>
        <w:tab/>
      </w:r>
      <w:r w:rsidR="00555720">
        <w:rPr>
          <w:rFonts w:ascii="Times New Roman" w:hAnsi="Times New Roman" w:cs="Times New Roman"/>
          <w:b/>
          <w:sz w:val="24"/>
          <w:szCs w:val="24"/>
        </w:rPr>
        <w:t xml:space="preserve">Case 7-2/ </w:t>
      </w:r>
      <w:r w:rsidR="007C383A">
        <w:rPr>
          <w:rFonts w:ascii="Times New Roman" w:hAnsi="Times New Roman" w:cs="Times New Roman"/>
          <w:b/>
          <w:sz w:val="24"/>
          <w:szCs w:val="24"/>
        </w:rPr>
        <w:t>Case 3-1</w:t>
      </w:r>
      <w:r w:rsidR="00AA7E09">
        <w:rPr>
          <w:rFonts w:ascii="Times New Roman" w:hAnsi="Times New Roman" w:cs="Times New Roman"/>
          <w:b/>
          <w:sz w:val="24"/>
          <w:szCs w:val="24"/>
        </w:rPr>
        <w:t xml:space="preserve"> (Japan –Taxes on Alcoholic Beverages)</w:t>
      </w:r>
    </w:p>
    <w:p w:rsidR="008F2E14" w:rsidRPr="008F2E14" w:rsidRDefault="00AA7E09" w:rsidP="008F2E14">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8F2E14" w:rsidRPr="008F2E14">
        <w:rPr>
          <w:rFonts w:ascii="Times New Roman" w:hAnsi="Times New Roman" w:cs="Times New Roman"/>
          <w:sz w:val="24"/>
          <w:szCs w:val="24"/>
        </w:rPr>
        <w:t xml:space="preserve">In this particular verbal confrontation, European Communities, U.S and Canada recorded disagreements that spirits that were conveyed to Japan were abused by the Japanese liquor evaluate structure. From their own particular view, tolls would cut down cost on the "Shochu" than on their conveyed things, for instance, spirits, cognac and whisky. A joint blockade was set to inquire about the issue at the DSB meeting on 27 September 1995. On 30 October 1995, the Panel was made. The report of the board, which viewed the Japanese assessment structure to battle with GATT Article III:2, was coursed to Members on 11 July 1996 (Washington, 2012). </w:t>
      </w:r>
    </w:p>
    <w:p w:rsidR="008F2E14" w:rsidRPr="008F2E14" w:rsidRDefault="008F2E14" w:rsidP="008F2E14">
      <w:pPr>
        <w:spacing w:line="480" w:lineRule="auto"/>
        <w:ind w:left="0" w:firstLine="0"/>
        <w:rPr>
          <w:rFonts w:ascii="Times New Roman" w:hAnsi="Times New Roman" w:cs="Times New Roman"/>
          <w:sz w:val="24"/>
          <w:szCs w:val="24"/>
        </w:rPr>
      </w:pPr>
    </w:p>
    <w:p w:rsidR="008F2E14" w:rsidRPr="008F2E14" w:rsidRDefault="008F2E14" w:rsidP="008F2E14">
      <w:pPr>
        <w:spacing w:line="480" w:lineRule="auto"/>
        <w:ind w:left="0" w:firstLine="720"/>
        <w:rPr>
          <w:rFonts w:ascii="Times New Roman" w:hAnsi="Times New Roman" w:cs="Times New Roman"/>
          <w:sz w:val="24"/>
          <w:szCs w:val="24"/>
        </w:rPr>
      </w:pPr>
      <w:r w:rsidRPr="008F2E14">
        <w:rPr>
          <w:rFonts w:ascii="Times New Roman" w:hAnsi="Times New Roman" w:cs="Times New Roman"/>
          <w:sz w:val="24"/>
          <w:szCs w:val="24"/>
        </w:rPr>
        <w:t xml:space="preserve">On 8 August 1996 Japan documented an interest. Re-assessing Body report was spouted to Members on 4 October 1996. Redrafting Body's Report shown that the Panel's choice was that the Japanese Liquor Tax Law was clashing with GATT Article III: in this particular case, they brought up two or three achieves where the Panel had botched in its good 'ol fashioned considering. The Appellate Report, together with the board report as adjusted by the Appellate Report, was gotten on 1 November 1996. </w:t>
      </w:r>
    </w:p>
    <w:p w:rsidR="008F2E14" w:rsidRPr="008F2E14" w:rsidRDefault="008F2E14" w:rsidP="008F2E14">
      <w:pPr>
        <w:spacing w:line="480" w:lineRule="auto"/>
        <w:ind w:left="0" w:firstLine="0"/>
        <w:rPr>
          <w:rFonts w:ascii="Times New Roman" w:hAnsi="Times New Roman" w:cs="Times New Roman"/>
          <w:sz w:val="24"/>
          <w:szCs w:val="24"/>
        </w:rPr>
      </w:pPr>
    </w:p>
    <w:p w:rsidR="008F2E14" w:rsidRPr="008F2E14" w:rsidRDefault="008F2E14" w:rsidP="008F2E14">
      <w:pPr>
        <w:spacing w:line="480" w:lineRule="auto"/>
        <w:ind w:left="0" w:firstLine="720"/>
        <w:rPr>
          <w:rFonts w:ascii="Times New Roman" w:hAnsi="Times New Roman" w:cs="Times New Roman"/>
          <w:sz w:val="24"/>
          <w:szCs w:val="24"/>
        </w:rPr>
      </w:pPr>
      <w:r w:rsidRPr="008F2E14">
        <w:rPr>
          <w:rFonts w:ascii="Times New Roman" w:hAnsi="Times New Roman" w:cs="Times New Roman"/>
          <w:sz w:val="24"/>
          <w:szCs w:val="24"/>
        </w:rPr>
        <w:lastRenderedPageBreak/>
        <w:t xml:space="preserve">On 24 December 1996, the US, according to Article 21(3)(c) of the DSU related for restricting intercession to pick the sensible time assignment for execution by Japan of the suggestion of the Appellate Body. The Arbitrator's report was gushed to part individuals on 14 February 1997. The Arbitrator found the sensible period for use of the suggestions to be 15 months from the date of get-together of the reports i.e. it finished on 1 February 1998. Japan indicated modalities for execution which were perceived by the complainants (Washington, 2012).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 xml:space="preserve">The substances about this case are;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w:t>
      </w:r>
      <w:r w:rsidRPr="008F2E14">
        <w:rPr>
          <w:rFonts w:ascii="Times New Roman" w:hAnsi="Times New Roman" w:cs="Times New Roman"/>
          <w:sz w:val="24"/>
          <w:szCs w:val="24"/>
        </w:rPr>
        <w:tab/>
        <w:t>The wrangle about included Japan driving underhanded obligations which were concentrating on neighborhoo</w:t>
      </w:r>
      <w:r>
        <w:rPr>
          <w:rFonts w:ascii="Times New Roman" w:hAnsi="Times New Roman" w:cs="Times New Roman"/>
          <w:sz w:val="24"/>
          <w:szCs w:val="24"/>
        </w:rPr>
        <w:t>d things, for instance, Sochu A</w:t>
      </w:r>
      <w:r w:rsidRPr="008F2E14">
        <w:rPr>
          <w:rFonts w:ascii="Times New Roman" w:hAnsi="Times New Roman" w:cs="Times New Roman"/>
          <w:sz w:val="24"/>
          <w:szCs w:val="24"/>
        </w:rPr>
        <w:t xml:space="preserve"> and B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w:t>
      </w:r>
      <w:r w:rsidRPr="008F2E14">
        <w:rPr>
          <w:rFonts w:ascii="Times New Roman" w:hAnsi="Times New Roman" w:cs="Times New Roman"/>
          <w:sz w:val="24"/>
          <w:szCs w:val="24"/>
        </w:rPr>
        <w:tab/>
        <w:t xml:space="preserve">White imported liquor were constrained lower charges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w:t>
      </w:r>
      <w:r w:rsidRPr="008F2E14">
        <w:rPr>
          <w:rFonts w:ascii="Times New Roman" w:hAnsi="Times New Roman" w:cs="Times New Roman"/>
          <w:sz w:val="24"/>
          <w:szCs w:val="24"/>
        </w:rPr>
        <w:tab/>
        <w:t xml:space="preserve">Tribunal picked that the utilization by Japan to diminish the tolls on the adjacent liquor things would be done well away and that a particular date would be set for execution </w:t>
      </w:r>
    </w:p>
    <w:p w:rsidR="008F2E14" w:rsidRPr="008F2E14" w:rsidRDefault="008F2E14" w:rsidP="008F2E14">
      <w:pPr>
        <w:spacing w:line="480" w:lineRule="auto"/>
        <w:ind w:left="0" w:firstLine="0"/>
        <w:rPr>
          <w:rFonts w:ascii="Times New Roman" w:hAnsi="Times New Roman" w:cs="Times New Roman"/>
          <w:sz w:val="24"/>
          <w:szCs w:val="24"/>
        </w:rPr>
      </w:pPr>
    </w:p>
    <w:p w:rsidR="008F2E14" w:rsidRPr="008F2E14" w:rsidRDefault="008F2E14" w:rsidP="008F2E14">
      <w:pPr>
        <w:spacing w:line="480" w:lineRule="auto"/>
        <w:ind w:left="0" w:firstLine="0"/>
        <w:rPr>
          <w:rFonts w:ascii="Times New Roman" w:hAnsi="Times New Roman" w:cs="Times New Roman"/>
          <w:sz w:val="24"/>
          <w:szCs w:val="24"/>
        </w:rPr>
      </w:pP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3-4</w:t>
      </w:r>
      <w:r w:rsidR="00A7393A">
        <w:rPr>
          <w:rFonts w:ascii="Times New Roman" w:hAnsi="Times New Roman" w:cs="Times New Roman"/>
          <w:b/>
          <w:sz w:val="24"/>
          <w:szCs w:val="24"/>
        </w:rPr>
        <w:t xml:space="preserve"> (Shell vs. R.W Sturge Ltd).</w:t>
      </w:r>
    </w:p>
    <w:p w:rsidR="008F2E14" w:rsidRPr="008F2E14" w:rsidRDefault="008F2E14" w:rsidP="008F2E14">
      <w:pPr>
        <w:spacing w:line="480" w:lineRule="auto"/>
        <w:ind w:left="0" w:firstLine="720"/>
        <w:rPr>
          <w:rFonts w:ascii="Times New Roman" w:hAnsi="Times New Roman" w:cs="Times New Roman"/>
          <w:sz w:val="24"/>
          <w:szCs w:val="24"/>
        </w:rPr>
      </w:pPr>
      <w:r w:rsidRPr="008F2E14">
        <w:rPr>
          <w:rFonts w:ascii="Times New Roman" w:hAnsi="Times New Roman" w:cs="Times New Roman"/>
          <w:sz w:val="24"/>
          <w:szCs w:val="24"/>
        </w:rPr>
        <w:t xml:space="preserve">Disturbed get-togethers for this circumstance were; Andrew C. Hauch, III, West Shell, Jr., and Herbert A., Middendorff in like way implied as the Names recorded a varying assortment ward against the Council of Lloyd's, R.W. Sturge, LTD, the Society of Lloyd's, and Corporation of Lloyd's; not seen as an insurance office yet rather a party deciphered of individuals working together to support certain demand of business. The different variety ward judgment will permit the Ohio District Court to apply their vitality to hear the development as the Names are tenants of Ohio against respondent local people of England in light of the way that the meander infringed </w:t>
      </w:r>
      <w:r w:rsidRPr="008F2E14">
        <w:rPr>
          <w:rFonts w:ascii="Times New Roman" w:hAnsi="Times New Roman" w:cs="Times New Roman"/>
          <w:sz w:val="24"/>
          <w:szCs w:val="24"/>
        </w:rPr>
        <w:lastRenderedPageBreak/>
        <w:t xml:space="preserve">upon the Ohio securities law. The issue was expelled from the Hamilton County of Common and reallocated to the United States Magistrate Judge. Who ensuing to hearing all verification, verbal normal dispute, logical inconsistency, and improvements by the two offended insulted gatherings and respondents drove for the prosecutor and evacuated the development considering that the understanding that the two social events went into incorporated an enforceable exchange strategy (West Group., and West Publishing Company, 2014) </w:t>
      </w:r>
      <w:r>
        <w:rPr>
          <w:rFonts w:ascii="Times New Roman" w:hAnsi="Times New Roman" w:cs="Times New Roman"/>
          <w:sz w:val="24"/>
          <w:szCs w:val="24"/>
        </w:rPr>
        <w:t xml:space="preserve"> </w:t>
      </w:r>
      <w:r w:rsidRPr="008F2E14">
        <w:rPr>
          <w:rFonts w:ascii="Times New Roman" w:hAnsi="Times New Roman" w:cs="Times New Roman"/>
          <w:sz w:val="24"/>
          <w:szCs w:val="24"/>
        </w:rPr>
        <w:t xml:space="preserve">For this circumstance, the court kept up that it was fine to dismiss the development since it was not in the most ideal scene. </w:t>
      </w:r>
    </w:p>
    <w:p w:rsidR="008F2E14" w:rsidRPr="008F2E14" w:rsidRDefault="008F2E14" w:rsidP="008F2E14">
      <w:pPr>
        <w:spacing w:line="480" w:lineRule="auto"/>
        <w:ind w:left="0" w:firstLine="0"/>
        <w:jc w:val="center"/>
        <w:rPr>
          <w:rFonts w:ascii="Times New Roman" w:hAnsi="Times New Roman" w:cs="Times New Roman"/>
          <w:sz w:val="24"/>
          <w:szCs w:val="24"/>
        </w:rPr>
      </w:pP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6-7</w:t>
      </w:r>
      <w:r w:rsidR="00E661B4">
        <w:rPr>
          <w:rFonts w:ascii="Times New Roman" w:hAnsi="Times New Roman" w:cs="Times New Roman"/>
          <w:b/>
          <w:sz w:val="24"/>
          <w:szCs w:val="24"/>
        </w:rPr>
        <w:t xml:space="preserve"> (Libyan Arab Foreign Bank v. Bankers Trust Company)</w:t>
      </w:r>
    </w:p>
    <w:p w:rsidR="008F2E14" w:rsidRPr="008F2E14" w:rsidRDefault="008F2E14" w:rsidP="008F2E14">
      <w:pPr>
        <w:spacing w:line="480" w:lineRule="auto"/>
        <w:ind w:left="0" w:firstLine="720"/>
        <w:rPr>
          <w:rFonts w:ascii="Times New Roman" w:hAnsi="Times New Roman" w:cs="Times New Roman"/>
          <w:sz w:val="24"/>
          <w:szCs w:val="24"/>
        </w:rPr>
      </w:pPr>
      <w:r w:rsidRPr="008F2E14">
        <w:rPr>
          <w:rFonts w:ascii="Times New Roman" w:hAnsi="Times New Roman" w:cs="Times New Roman"/>
          <w:sz w:val="24"/>
          <w:szCs w:val="24"/>
        </w:rPr>
        <w:t xml:space="preserve">In this particular case, the offended party (Plaintiff) is the Libyan Arab Foreign Bank had cash kept at the disputant, Bankers Trust Bank out in New York and at the London Branch. The organization of the United States by then continued having a large portion of the Libyan resources in the US set. In light of the law of New York, which isn't English law, the blacklist of the US government shielded the branch in London from having cash discharged to the attacked party (Plaintiff). Precisely when the defendant did not have any desire to have any advantages discharged to the chafed party, the suit was passed on into an English court to drive the respondent to have the points of interest discharged. The judge enabled the case to the attacked party the essential occasion of $131 million dollars and in addition the entire that they requested which was 161 million. They didn't win claims 3 and 4 at any rate they won the fifth claim be that as it may if the claim would have been material, they would have lost also (Gold and Gold, 2011).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 xml:space="preserve">Fundamentally, the assurances for this circumstance are;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lastRenderedPageBreak/>
        <w:t xml:space="preserve">The Libyan Arab Foreign bank has a place with the Central bank of Libya and it's the irritated party for this circumstance </w:t>
      </w:r>
    </w:p>
    <w:p w:rsidR="008F2E14" w:rsidRPr="008F2E14" w:rsidRDefault="008F2E14" w:rsidP="008F2E14">
      <w:pPr>
        <w:spacing w:line="480" w:lineRule="auto"/>
        <w:ind w:left="0" w:firstLine="0"/>
        <w:rPr>
          <w:rFonts w:ascii="Times New Roman" w:hAnsi="Times New Roman" w:cs="Times New Roman"/>
          <w:sz w:val="24"/>
          <w:szCs w:val="24"/>
        </w:rPr>
      </w:pPr>
      <w:r>
        <w:rPr>
          <w:rFonts w:ascii="Times New Roman" w:hAnsi="Times New Roman" w:cs="Times New Roman"/>
          <w:sz w:val="24"/>
          <w:szCs w:val="24"/>
        </w:rPr>
        <w:t>P</w:t>
      </w:r>
      <w:r w:rsidRPr="008F2E14">
        <w:rPr>
          <w:rFonts w:ascii="Times New Roman" w:hAnsi="Times New Roman" w:cs="Times New Roman"/>
          <w:sz w:val="24"/>
          <w:szCs w:val="24"/>
        </w:rPr>
        <w:t xml:space="preserve">resident Reagan set the irritated party's stores in the Bankers Trust bank, London branch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 xml:space="preserve">The issue for this circumstance was whether the U.S government had the authority to cement the annoyed party's stores in branches in various countries of the Bankers Trust Bank. </w:t>
      </w: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 xml:space="preserve">The court held that the responsibilities of the two get-togethers were kept up by the English law </w:t>
      </w:r>
    </w:p>
    <w:p w:rsidR="007C383A" w:rsidRDefault="007C383A" w:rsidP="00A47AE1">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t>Case 9-3</w:t>
      </w:r>
      <w:r w:rsidR="006220FA">
        <w:rPr>
          <w:rFonts w:ascii="Times New Roman" w:hAnsi="Times New Roman" w:cs="Times New Roman"/>
          <w:b/>
          <w:sz w:val="24"/>
          <w:szCs w:val="24"/>
        </w:rPr>
        <w:t xml:space="preserve"> (Monsanto Co. v. Coramandal Indag Products, (P) Ltd.)</w:t>
      </w:r>
      <w:r w:rsidR="00925DDD">
        <w:rPr>
          <w:rFonts w:ascii="Times New Roman" w:hAnsi="Times New Roman" w:cs="Times New Roman"/>
          <w:b/>
          <w:sz w:val="24"/>
          <w:szCs w:val="24"/>
        </w:rPr>
        <w:t>.</w:t>
      </w:r>
    </w:p>
    <w:p w:rsidR="008F2E14" w:rsidRPr="008F2E14" w:rsidRDefault="00D0071B" w:rsidP="008F2E14">
      <w:pPr>
        <w:spacing w:line="480" w:lineRule="auto"/>
        <w:ind w:left="0" w:firstLine="0"/>
        <w:rPr>
          <w:rFonts w:ascii="Times New Roman" w:hAnsi="Times New Roman" w:cs="Times New Roman"/>
          <w:sz w:val="24"/>
          <w:szCs w:val="24"/>
        </w:rPr>
      </w:pPr>
      <w:r>
        <w:rPr>
          <w:rFonts w:ascii="Times New Roman" w:hAnsi="Times New Roman" w:cs="Times New Roman"/>
          <w:b/>
          <w:sz w:val="24"/>
          <w:szCs w:val="24"/>
        </w:rPr>
        <w:tab/>
      </w:r>
      <w:r w:rsidR="008F2E14" w:rsidRPr="008F2E14">
        <w:rPr>
          <w:rFonts w:ascii="Times New Roman" w:hAnsi="Times New Roman" w:cs="Times New Roman"/>
          <w:sz w:val="24"/>
          <w:szCs w:val="24"/>
        </w:rPr>
        <w:t xml:space="preserve">The hopeful is the Monsanto Company of St Louis, Missouri, which is the parent affiliation association of Monsanto Company in India. The association states that the Coramandal Indag Products, Ltd. restricted on two of the patent licenses whose numbers were 104120 and 125381. At to begin with, these two licenses were used as a piece of their weed killer, however later on they were on a very basic level removed to just a lone patent. The respondent/prosecutor in this particular situation is the Coramandal Indag Products (P) Ltd. This is an affiliation that is of Indian Private Limited which used two of the patent licenses of Monsanto Company in their weed executioner. The Monsanto Company expressed a suit against the Coramandal Indag Products Company for professedly encroaching the advantages of the patent licenses that the Monsanto Company had guaranteed in the long stretch out of February in 1979. The patent was under the name "Butachlor" in any case; honestly, they didn't misuse the patent (Gopalakrishnan,2013) </w:t>
      </w:r>
    </w:p>
    <w:p w:rsidR="008F2E14" w:rsidRPr="008F2E14" w:rsidRDefault="008F2E14" w:rsidP="008F2E14">
      <w:pPr>
        <w:spacing w:line="480" w:lineRule="auto"/>
        <w:ind w:left="0" w:firstLine="0"/>
        <w:rPr>
          <w:rFonts w:ascii="Times New Roman" w:hAnsi="Times New Roman" w:cs="Times New Roman"/>
          <w:sz w:val="24"/>
          <w:szCs w:val="24"/>
        </w:rPr>
      </w:pPr>
    </w:p>
    <w:p w:rsidR="008F2E14" w:rsidRPr="008F2E14" w:rsidRDefault="008F2E14" w:rsidP="008F2E14">
      <w:pPr>
        <w:spacing w:line="480" w:lineRule="auto"/>
        <w:ind w:left="0" w:firstLine="0"/>
        <w:rPr>
          <w:rFonts w:ascii="Times New Roman" w:hAnsi="Times New Roman" w:cs="Times New Roman"/>
          <w:sz w:val="24"/>
          <w:szCs w:val="24"/>
        </w:rPr>
      </w:pPr>
      <w:r w:rsidRPr="008F2E14">
        <w:rPr>
          <w:rFonts w:ascii="Times New Roman" w:hAnsi="Times New Roman" w:cs="Times New Roman"/>
          <w:sz w:val="24"/>
          <w:szCs w:val="24"/>
        </w:rPr>
        <w:t xml:space="preserve">The Monsanto Company got a case outcome of the Coramandal Indag Products Company and has separated it. After close examination, the outcomes picked up uncovered that the thing had near mixes which were found in the consequence of Monsanto Company. Thusly, Monsanto </w:t>
      </w:r>
      <w:r w:rsidRPr="008F2E14">
        <w:rPr>
          <w:rFonts w:ascii="Times New Roman" w:hAnsi="Times New Roman" w:cs="Times New Roman"/>
          <w:sz w:val="24"/>
          <w:szCs w:val="24"/>
        </w:rPr>
        <w:lastRenderedPageBreak/>
        <w:t xml:space="preserve">Company asked for the court to reveal the Coramandal Indag Products Company in the encroachment of their patent licenses. In any case, the Coramandal Indag Products Company scratched off the licenses of Monsanto Company. </w:t>
      </w:r>
    </w:p>
    <w:p w:rsidR="008F2E14" w:rsidRPr="008F2E14" w:rsidRDefault="008F2E14" w:rsidP="008F2E14">
      <w:pPr>
        <w:spacing w:line="480" w:lineRule="auto"/>
        <w:ind w:left="0" w:firstLine="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r w:rsidRPr="008F2E14">
        <w:rPr>
          <w:rFonts w:ascii="Times New Roman" w:hAnsi="Times New Roman" w:cs="Times New Roman"/>
          <w:sz w:val="24"/>
          <w:szCs w:val="24"/>
        </w:rPr>
        <w:t xml:space="preserve">The facts about the case were that, Dr. John Olin found recipe CP-53619 (AKA Butachlor) in 1966-67 that had no 'dangerous' impacts on rice, yet killed weeds. Dr. Olin's condition was coursed in the International Rice Research Institute 1968 yearly report, regardless he never approved this recipe. MC guaranteed Phototoxic Compositions on March 1, 1966 and Grass Selective Herbicide Composition on February 20, 1970 with the dynamic part of Butachlor in the herbicide (August, 2012). </w:t>
      </w: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Default="008F2E14" w:rsidP="008F2E14">
      <w:pPr>
        <w:spacing w:line="480" w:lineRule="auto"/>
        <w:ind w:left="0" w:firstLine="720"/>
        <w:rPr>
          <w:rFonts w:ascii="Times New Roman" w:hAnsi="Times New Roman" w:cs="Times New Roman"/>
          <w:sz w:val="24"/>
          <w:szCs w:val="24"/>
        </w:rPr>
      </w:pPr>
    </w:p>
    <w:p w:rsidR="008F2E14" w:rsidRPr="008F2E14" w:rsidRDefault="008F2E14" w:rsidP="008F2E14">
      <w:pPr>
        <w:spacing w:line="480" w:lineRule="auto"/>
        <w:ind w:left="0" w:firstLine="720"/>
        <w:rPr>
          <w:rFonts w:ascii="Times New Roman" w:hAnsi="Times New Roman" w:cs="Times New Roman"/>
          <w:sz w:val="24"/>
          <w:szCs w:val="24"/>
        </w:rPr>
      </w:pPr>
    </w:p>
    <w:p w:rsidR="00B92D72" w:rsidRDefault="00B92D72" w:rsidP="008F2E14">
      <w:pPr>
        <w:spacing w:line="48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966B8D" w:rsidRDefault="00966B8D"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August, R. (201</w:t>
      </w:r>
      <w:r>
        <w:rPr>
          <w:rFonts w:ascii="Times New Roman" w:hAnsi="Times New Roman" w:cs="Times New Roman"/>
          <w:sz w:val="24"/>
          <w:szCs w:val="24"/>
        </w:rPr>
        <w:t>2</w:t>
      </w:r>
      <w:r w:rsidRPr="00966B8D">
        <w:rPr>
          <w:rFonts w:ascii="Times New Roman" w:hAnsi="Times New Roman" w:cs="Times New Roman" w:hint="eastAsia"/>
          <w:sz w:val="24"/>
          <w:szCs w:val="24"/>
        </w:rPr>
        <w:t>). </w:t>
      </w:r>
      <w:r w:rsidRPr="00966B8D">
        <w:rPr>
          <w:rFonts w:ascii="Times New Roman" w:hAnsi="Times New Roman" w:cs="Times New Roman" w:hint="eastAsia"/>
          <w:i/>
          <w:iCs/>
          <w:sz w:val="24"/>
          <w:szCs w:val="24"/>
        </w:rPr>
        <w:t>International business law: Text, cases, and readings</w:t>
      </w:r>
      <w:r w:rsidRPr="00966B8D">
        <w:rPr>
          <w:rFonts w:ascii="Times New Roman" w:hAnsi="Times New Roman" w:cs="Times New Roman" w:hint="eastAsia"/>
          <w:sz w:val="24"/>
          <w:szCs w:val="24"/>
        </w:rPr>
        <w:t>. Upper Saddle River, N.J: Prentice Hall.</w:t>
      </w:r>
    </w:p>
    <w:p w:rsidR="00E86AD7" w:rsidRDefault="00E86AD7"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Gold, J., &amp; Gold, J. (2011</w:t>
      </w:r>
      <w:r w:rsidRPr="00E86AD7">
        <w:rPr>
          <w:rFonts w:ascii="Times New Roman" w:hAnsi="Times New Roman" w:cs="Times New Roman" w:hint="eastAsia"/>
          <w:sz w:val="24"/>
          <w:szCs w:val="24"/>
        </w:rPr>
        <w:t>). </w:t>
      </w:r>
      <w:r w:rsidRPr="00E86AD7">
        <w:rPr>
          <w:rFonts w:ascii="Times New Roman" w:hAnsi="Times New Roman" w:cs="Times New Roman" w:hint="eastAsia"/>
          <w:i/>
          <w:iCs/>
          <w:sz w:val="24"/>
          <w:szCs w:val="24"/>
        </w:rPr>
        <w:t>The Fund Agreement in the Court, Vol. IV</w:t>
      </w:r>
      <w:r w:rsidRPr="00E86AD7">
        <w:rPr>
          <w:rFonts w:ascii="Times New Roman" w:hAnsi="Times New Roman" w:cs="Times New Roman" w:hint="eastAsia"/>
          <w:sz w:val="24"/>
          <w:szCs w:val="24"/>
        </w:rPr>
        <w:t>. Washington, D.C: International Monetary Fund.</w:t>
      </w:r>
    </w:p>
    <w:p w:rsidR="00EE7BEE" w:rsidRDefault="00EE7BEE"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Gopalakrishnan, N. S. (2013</w:t>
      </w:r>
      <w:r w:rsidRPr="00EE7BEE">
        <w:rPr>
          <w:rFonts w:ascii="Times New Roman" w:hAnsi="Times New Roman" w:cs="Times New Roman" w:hint="eastAsia"/>
          <w:sz w:val="24"/>
          <w:szCs w:val="24"/>
        </w:rPr>
        <w:t>). </w:t>
      </w:r>
      <w:r w:rsidRPr="00EE7BEE">
        <w:rPr>
          <w:rFonts w:ascii="Times New Roman" w:hAnsi="Times New Roman" w:cs="Times New Roman" w:hint="eastAsia"/>
          <w:i/>
          <w:iCs/>
          <w:sz w:val="24"/>
          <w:szCs w:val="24"/>
        </w:rPr>
        <w:t>Intellectual property and criminal law</w:t>
      </w:r>
      <w:r w:rsidRPr="00EE7BEE">
        <w:rPr>
          <w:rFonts w:ascii="Times New Roman" w:hAnsi="Times New Roman" w:cs="Times New Roman" w:hint="eastAsia"/>
          <w:sz w:val="24"/>
          <w:szCs w:val="24"/>
        </w:rPr>
        <w:t>. Bangalore, India: National Law School of India University.</w:t>
      </w:r>
    </w:p>
    <w:p w:rsidR="00EC22FA" w:rsidRDefault="00EC22FA" w:rsidP="00557CC5">
      <w:pPr>
        <w:spacing w:line="480" w:lineRule="auto"/>
        <w:rPr>
          <w:rFonts w:ascii="Times New Roman" w:hAnsi="Times New Roman" w:cs="Times New Roman"/>
          <w:sz w:val="24"/>
          <w:szCs w:val="24"/>
        </w:rPr>
      </w:pPr>
      <w:r>
        <w:rPr>
          <w:rFonts w:ascii="Times New Roman" w:hAnsi="Times New Roman" w:cs="Times New Roman" w:hint="eastAsia"/>
          <w:sz w:val="24"/>
          <w:szCs w:val="24"/>
        </w:rPr>
        <w:t>Schoenbaum, T. J. (2013</w:t>
      </w:r>
      <w:r w:rsidRPr="00EC22FA">
        <w:rPr>
          <w:rFonts w:ascii="Times New Roman" w:hAnsi="Times New Roman" w:cs="Times New Roman" w:hint="eastAsia"/>
          <w:sz w:val="24"/>
          <w:szCs w:val="24"/>
        </w:rPr>
        <w:t>). </w:t>
      </w:r>
      <w:r w:rsidRPr="00EC22FA">
        <w:rPr>
          <w:rFonts w:ascii="Times New Roman" w:hAnsi="Times New Roman" w:cs="Times New Roman" w:hint="eastAsia"/>
          <w:i/>
          <w:iCs/>
          <w:sz w:val="24"/>
          <w:szCs w:val="24"/>
        </w:rPr>
        <w:t>Admiralty and maritime law</w:t>
      </w:r>
      <w:r w:rsidRPr="00EC22FA">
        <w:rPr>
          <w:rFonts w:ascii="Times New Roman" w:hAnsi="Times New Roman" w:cs="Times New Roman" w:hint="eastAsia"/>
          <w:sz w:val="24"/>
          <w:szCs w:val="24"/>
        </w:rPr>
        <w:t>. St. Paul, Minn: West Group.</w:t>
      </w:r>
    </w:p>
    <w:p w:rsidR="007F1C66"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Washington (State)., &amp; Washington State Historic</w:t>
      </w:r>
      <w:r>
        <w:rPr>
          <w:rFonts w:ascii="Times New Roman" w:hAnsi="Times New Roman" w:cs="Times New Roman" w:hint="eastAsia"/>
          <w:sz w:val="24"/>
          <w:szCs w:val="24"/>
        </w:rPr>
        <w:t>al Records Advisory Board. (2012</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Historical records of Washington State: Guide to records in State Archives and its regional depositories</w:t>
      </w:r>
      <w:r w:rsidRPr="007F1C66">
        <w:rPr>
          <w:rFonts w:ascii="Times New Roman" w:hAnsi="Times New Roman" w:cs="Times New Roman" w:hint="eastAsia"/>
          <w:sz w:val="24"/>
          <w:szCs w:val="24"/>
        </w:rPr>
        <w:t>. Olympia, Wash.: Division of Archives and Records Management.</w:t>
      </w:r>
    </w:p>
    <w:p w:rsidR="007F1C66" w:rsidRPr="00EC22FA" w:rsidRDefault="007F1C66" w:rsidP="00557CC5">
      <w:pPr>
        <w:spacing w:line="480" w:lineRule="auto"/>
        <w:rPr>
          <w:rFonts w:ascii="Times New Roman" w:hAnsi="Times New Roman" w:cs="Times New Roman"/>
          <w:sz w:val="24"/>
          <w:szCs w:val="24"/>
        </w:rPr>
      </w:pPr>
      <w:r w:rsidRPr="007F1C66">
        <w:rPr>
          <w:rFonts w:ascii="Times New Roman" w:hAnsi="Times New Roman" w:cs="Times New Roman" w:hint="eastAsia"/>
          <w:sz w:val="24"/>
          <w:szCs w:val="24"/>
        </w:rPr>
        <w:t xml:space="preserve">West Group., </w:t>
      </w:r>
      <w:r>
        <w:rPr>
          <w:rFonts w:ascii="Times New Roman" w:hAnsi="Times New Roman" w:cs="Times New Roman" w:hint="eastAsia"/>
          <w:sz w:val="24"/>
          <w:szCs w:val="24"/>
        </w:rPr>
        <w:t>&amp; West Publishing Company. (2014</w:t>
      </w:r>
      <w:r w:rsidRPr="007F1C66">
        <w:rPr>
          <w:rFonts w:ascii="Times New Roman" w:hAnsi="Times New Roman" w:cs="Times New Roman" w:hint="eastAsia"/>
          <w:sz w:val="24"/>
          <w:szCs w:val="24"/>
        </w:rPr>
        <w:t>). </w:t>
      </w:r>
      <w:r w:rsidRPr="007F1C66">
        <w:rPr>
          <w:rFonts w:ascii="Times New Roman" w:hAnsi="Times New Roman" w:cs="Times New Roman" w:hint="eastAsia"/>
          <w:i/>
          <w:iCs/>
          <w:sz w:val="24"/>
          <w:szCs w:val="24"/>
        </w:rPr>
        <w:t>West's federal practice digest 4th</w:t>
      </w:r>
      <w:r w:rsidRPr="007F1C66">
        <w:rPr>
          <w:rFonts w:ascii="Times New Roman" w:hAnsi="Times New Roman" w:cs="Times New Roman" w:hint="eastAsia"/>
          <w:sz w:val="24"/>
          <w:szCs w:val="24"/>
        </w:rPr>
        <w:t>. St. Paul, Minn: Thomson/West.</w:t>
      </w:r>
    </w:p>
    <w:p w:rsidR="00A1243A" w:rsidRPr="007C383A" w:rsidRDefault="00A1243A" w:rsidP="00A1243A">
      <w:pPr>
        <w:spacing w:line="480" w:lineRule="auto"/>
        <w:ind w:left="0" w:firstLine="0"/>
        <w:rPr>
          <w:rFonts w:ascii="Times New Roman" w:hAnsi="Times New Roman" w:cs="Times New Roman"/>
          <w:b/>
          <w:sz w:val="24"/>
          <w:szCs w:val="24"/>
        </w:rPr>
      </w:pPr>
    </w:p>
    <w:sectPr w:rsidR="00A1243A" w:rsidRPr="007C383A" w:rsidSect="00844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D19" w:rsidRDefault="00A24D19">
      <w:r>
        <w:separator/>
      </w:r>
    </w:p>
  </w:endnote>
  <w:endnote w:type="continuationSeparator" w:id="0">
    <w:p w:rsidR="00A24D19" w:rsidRDefault="00A24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D19" w:rsidRDefault="00A24D19">
      <w:r>
        <w:separator/>
      </w:r>
    </w:p>
  </w:footnote>
  <w:footnote w:type="continuationSeparator" w:id="0">
    <w:p w:rsidR="00A24D19" w:rsidRDefault="00A24D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6860A5" w:rsidRDefault="00BD1E79" w:rsidP="006860A5">
    <w:pPr>
      <w:pStyle w:val="Header"/>
      <w:rPr>
        <w:rFonts w:ascii="Times New Roman" w:hAnsi="Times New Roman" w:cs="Times New Roman"/>
        <w:sz w:val="24"/>
        <w:szCs w:val="24"/>
      </w:rPr>
    </w:pPr>
    <w:r w:rsidRPr="006860A5">
      <w:rPr>
        <w:rFonts w:ascii="Times New Roman" w:hAnsi="Times New Roman" w:cs="Times New Roman"/>
        <w:sz w:val="24"/>
        <w:szCs w:val="24"/>
      </w:rPr>
      <w:t>LEGAL ASPECTS</w:t>
    </w:r>
    <w:r w:rsidRPr="006860A5">
      <w:rPr>
        <w:rFonts w:ascii="Times New Roman" w:hAnsi="Times New Roman" w:cs="Times New Roman"/>
        <w:sz w:val="24"/>
        <w:szCs w:val="24"/>
      </w:rPr>
      <w:tab/>
    </w:r>
    <w:r w:rsidRPr="006860A5">
      <w:rPr>
        <w:rFonts w:ascii="Times New Roman" w:hAnsi="Times New Roman" w:cs="Times New Roman"/>
        <w:sz w:val="24"/>
        <w:szCs w:val="24"/>
      </w:rPr>
      <w:tab/>
    </w:r>
    <w:sdt>
      <w:sdtPr>
        <w:rPr>
          <w:rFonts w:ascii="Times New Roman" w:hAnsi="Times New Roman" w:cs="Times New Roman"/>
          <w:sz w:val="24"/>
          <w:szCs w:val="24"/>
        </w:rPr>
        <w:id w:val="-735702118"/>
        <w:docPartObj>
          <w:docPartGallery w:val="Page Numbers (Top of Page)"/>
          <w:docPartUnique/>
        </w:docPartObj>
      </w:sdtPr>
      <w:sdtEndPr>
        <w:rPr>
          <w:noProof/>
        </w:rPr>
      </w:sdtEndPr>
      <w:sdtContent>
        <w:r w:rsidRPr="006860A5">
          <w:rPr>
            <w:rFonts w:ascii="Times New Roman" w:hAnsi="Times New Roman" w:cs="Times New Roman"/>
            <w:sz w:val="24"/>
            <w:szCs w:val="24"/>
          </w:rPr>
          <w:fldChar w:fldCharType="begin"/>
        </w:r>
        <w:r w:rsidRPr="006860A5">
          <w:rPr>
            <w:rFonts w:ascii="Times New Roman" w:hAnsi="Times New Roman" w:cs="Times New Roman"/>
            <w:sz w:val="24"/>
            <w:szCs w:val="24"/>
          </w:rPr>
          <w:instrText xml:space="preserve"> PAGE   \* MERGEFORMAT </w:instrText>
        </w:r>
        <w:r w:rsidRPr="006860A5">
          <w:rPr>
            <w:rFonts w:ascii="Times New Roman" w:hAnsi="Times New Roman" w:cs="Times New Roman"/>
            <w:sz w:val="24"/>
            <w:szCs w:val="24"/>
          </w:rPr>
          <w:fldChar w:fldCharType="separate"/>
        </w:r>
        <w:r w:rsidR="00756A9B">
          <w:rPr>
            <w:rFonts w:ascii="Times New Roman" w:hAnsi="Times New Roman" w:cs="Times New Roman"/>
            <w:noProof/>
            <w:sz w:val="24"/>
            <w:szCs w:val="24"/>
          </w:rPr>
          <w:t>2</w:t>
        </w:r>
        <w:r w:rsidRPr="006860A5">
          <w:rPr>
            <w:rFonts w:ascii="Times New Roman" w:hAnsi="Times New Roman" w:cs="Times New Roman"/>
            <w:noProof/>
            <w:sz w:val="24"/>
            <w:szCs w:val="24"/>
          </w:rPr>
          <w:fldChar w:fldCharType="end"/>
        </w:r>
      </w:sdtContent>
    </w:sdt>
  </w:p>
  <w:p w:rsidR="00BD1E79" w:rsidRPr="006860A5" w:rsidRDefault="00BD1E7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1E79" w:rsidRPr="0084417C" w:rsidRDefault="00BD1E79">
    <w:pPr>
      <w:pStyle w:val="Header"/>
      <w:rPr>
        <w:rFonts w:ascii="Times New Roman" w:hAnsi="Times New Roman" w:cs="Times New Roman"/>
        <w:sz w:val="24"/>
        <w:szCs w:val="24"/>
      </w:rPr>
    </w:pPr>
    <w:r w:rsidRPr="0084417C">
      <w:rPr>
        <w:rFonts w:ascii="Times New Roman" w:hAnsi="Times New Roman" w:cs="Times New Roman"/>
        <w:sz w:val="24"/>
        <w:szCs w:val="24"/>
      </w:rPr>
      <w:t>RUNNING HEAD: LEGAL ASPECTS</w:t>
    </w:r>
    <w:r w:rsidRPr="0084417C">
      <w:rPr>
        <w:rFonts w:ascii="Times New Roman" w:hAnsi="Times New Roman" w:cs="Times New Roman"/>
        <w:sz w:val="24"/>
        <w:szCs w:val="24"/>
      </w:rPr>
      <w:tab/>
    </w:r>
    <w:r w:rsidRPr="0084417C">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31112"/>
    <w:multiLevelType w:val="hybridMultilevel"/>
    <w:tmpl w:val="233AB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2">
    <w:nsid w:val="323840FF"/>
    <w:multiLevelType w:val="hybridMultilevel"/>
    <w:tmpl w:val="8E3AC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25D98"/>
    <w:rsid w:val="00066B0C"/>
    <w:rsid w:val="0007538F"/>
    <w:rsid w:val="00076051"/>
    <w:rsid w:val="000B24E8"/>
    <w:rsid w:val="000B63FE"/>
    <w:rsid w:val="000C2EE7"/>
    <w:rsid w:val="000C575B"/>
    <w:rsid w:val="000D0B3E"/>
    <w:rsid w:val="000D3DEB"/>
    <w:rsid w:val="000F3D9E"/>
    <w:rsid w:val="000F4BE2"/>
    <w:rsid w:val="00135376"/>
    <w:rsid w:val="00190B80"/>
    <w:rsid w:val="001C0E02"/>
    <w:rsid w:val="001C435B"/>
    <w:rsid w:val="001F2EE7"/>
    <w:rsid w:val="002246D2"/>
    <w:rsid w:val="00277236"/>
    <w:rsid w:val="00287517"/>
    <w:rsid w:val="002A0ED5"/>
    <w:rsid w:val="002A728E"/>
    <w:rsid w:val="002B0C26"/>
    <w:rsid w:val="002B6DAE"/>
    <w:rsid w:val="002D6695"/>
    <w:rsid w:val="002D6C4E"/>
    <w:rsid w:val="002E29E5"/>
    <w:rsid w:val="002F139D"/>
    <w:rsid w:val="003236B9"/>
    <w:rsid w:val="003327A6"/>
    <w:rsid w:val="003407B8"/>
    <w:rsid w:val="00343DD6"/>
    <w:rsid w:val="00372EAB"/>
    <w:rsid w:val="00377F7D"/>
    <w:rsid w:val="003B3A44"/>
    <w:rsid w:val="003B6D1E"/>
    <w:rsid w:val="003C47B8"/>
    <w:rsid w:val="003D43BC"/>
    <w:rsid w:val="003E2B38"/>
    <w:rsid w:val="003F0F8C"/>
    <w:rsid w:val="003F1DFD"/>
    <w:rsid w:val="003F7F72"/>
    <w:rsid w:val="0046163E"/>
    <w:rsid w:val="004E0C5E"/>
    <w:rsid w:val="004E77F0"/>
    <w:rsid w:val="005036E4"/>
    <w:rsid w:val="00507E2E"/>
    <w:rsid w:val="005327B6"/>
    <w:rsid w:val="00555720"/>
    <w:rsid w:val="00557CC5"/>
    <w:rsid w:val="00585B6F"/>
    <w:rsid w:val="005A1C25"/>
    <w:rsid w:val="006220FA"/>
    <w:rsid w:val="00641236"/>
    <w:rsid w:val="00662C55"/>
    <w:rsid w:val="00680F34"/>
    <w:rsid w:val="006860A5"/>
    <w:rsid w:val="0069129F"/>
    <w:rsid w:val="00692A82"/>
    <w:rsid w:val="00694861"/>
    <w:rsid w:val="006C6E5B"/>
    <w:rsid w:val="006E0B4F"/>
    <w:rsid w:val="006F223F"/>
    <w:rsid w:val="00756A9B"/>
    <w:rsid w:val="007B20D0"/>
    <w:rsid w:val="007C383A"/>
    <w:rsid w:val="007F1C66"/>
    <w:rsid w:val="00814232"/>
    <w:rsid w:val="0081767B"/>
    <w:rsid w:val="008249A3"/>
    <w:rsid w:val="00835F38"/>
    <w:rsid w:val="00840C0F"/>
    <w:rsid w:val="0084417C"/>
    <w:rsid w:val="008669B4"/>
    <w:rsid w:val="00875737"/>
    <w:rsid w:val="008821BA"/>
    <w:rsid w:val="008971F8"/>
    <w:rsid w:val="008D613A"/>
    <w:rsid w:val="008F2E14"/>
    <w:rsid w:val="00925DDD"/>
    <w:rsid w:val="00947771"/>
    <w:rsid w:val="00966B8D"/>
    <w:rsid w:val="0098154A"/>
    <w:rsid w:val="009A314F"/>
    <w:rsid w:val="009B69AE"/>
    <w:rsid w:val="009D0ED5"/>
    <w:rsid w:val="009E59D7"/>
    <w:rsid w:val="00A1243A"/>
    <w:rsid w:val="00A15F97"/>
    <w:rsid w:val="00A24D19"/>
    <w:rsid w:val="00A44CFF"/>
    <w:rsid w:val="00A47AE1"/>
    <w:rsid w:val="00A65C3A"/>
    <w:rsid w:val="00A7393A"/>
    <w:rsid w:val="00A9670B"/>
    <w:rsid w:val="00AA7E09"/>
    <w:rsid w:val="00AD7A3F"/>
    <w:rsid w:val="00AE1CB1"/>
    <w:rsid w:val="00AE6BCB"/>
    <w:rsid w:val="00B41413"/>
    <w:rsid w:val="00B60FAF"/>
    <w:rsid w:val="00B66C13"/>
    <w:rsid w:val="00B67304"/>
    <w:rsid w:val="00B83021"/>
    <w:rsid w:val="00B92D72"/>
    <w:rsid w:val="00BB4BDE"/>
    <w:rsid w:val="00BD1E79"/>
    <w:rsid w:val="00C077E1"/>
    <w:rsid w:val="00C24BE6"/>
    <w:rsid w:val="00C56CE7"/>
    <w:rsid w:val="00C60C82"/>
    <w:rsid w:val="00C64B1E"/>
    <w:rsid w:val="00C70A04"/>
    <w:rsid w:val="00C854D6"/>
    <w:rsid w:val="00CD62EE"/>
    <w:rsid w:val="00CE3A1D"/>
    <w:rsid w:val="00D0071B"/>
    <w:rsid w:val="00D115B0"/>
    <w:rsid w:val="00D154D8"/>
    <w:rsid w:val="00D41049"/>
    <w:rsid w:val="00D816A6"/>
    <w:rsid w:val="00DD482F"/>
    <w:rsid w:val="00DE018A"/>
    <w:rsid w:val="00DE26FE"/>
    <w:rsid w:val="00DF14BB"/>
    <w:rsid w:val="00E31431"/>
    <w:rsid w:val="00E35D78"/>
    <w:rsid w:val="00E661B4"/>
    <w:rsid w:val="00E86AD7"/>
    <w:rsid w:val="00EC22FA"/>
    <w:rsid w:val="00ED1873"/>
    <w:rsid w:val="00EE7BEE"/>
    <w:rsid w:val="00F10CF0"/>
    <w:rsid w:val="00F65DC3"/>
    <w:rsid w:val="00F7580D"/>
    <w:rsid w:val="00F83090"/>
    <w:rsid w:val="00FA2B86"/>
    <w:rsid w:val="00FC435D"/>
    <w:rsid w:val="00FF5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53892-451B-4A49-9305-D1DA1BA7B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0F3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 w:type="character" w:customStyle="1" w:styleId="Heading1Char">
    <w:name w:val="Heading 1 Char"/>
    <w:basedOn w:val="DefaultParagraphFont"/>
    <w:link w:val="Heading1"/>
    <w:uiPriority w:val="9"/>
    <w:rsid w:val="00680F3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mwololo samuel</cp:lastModifiedBy>
  <cp:revision>2</cp:revision>
  <dcterms:created xsi:type="dcterms:W3CDTF">2017-11-07T21:09:00Z</dcterms:created>
  <dcterms:modified xsi:type="dcterms:W3CDTF">2017-11-07T21:09:00Z</dcterms:modified>
</cp:coreProperties>
</file>